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Privacyverklaring en cookiebeleid TSD</w:t>
      </w:r>
    </w:p>
    <w:p>
      <w:pPr>
        <w:pStyle w:val="Subtitle"/>
        <w:widowControl/>
      </w:pPr>
      <w:r>
        <w:t>Hoe TSD persoonsgegevens en cookies gebruikt</w:t>
      </w:r>
    </w:p>
    <w:p>
      <w:pPr>
        <w:widowControl/>
        <w:spacing w:after="240"/>
      </w:pPr>
      <w:r>
        <w:rPr>
          <w:b/>
        </w:rPr>
        <w:t>Versie 28 september 2026</w:t>
      </w:r>
    </w:p>
    <w:p>
      <w:pPr>
        <w:widowControl/>
      </w:pPr>
      <w:r>
        <w:t>Deze verklaring legt uit welke persoonsgegevens TSD verwerkt wanneer iemand de website bezoekt, contact opneemt, een offerte aanvraagt, een afspraak maakt, een dienst afneemt of een bestelling plaatst. Ook staat hierin welke cookies en vergelijkbare technieken de website kan gebruiken en welke keuzes de bezoeker heeft.</w:t>
      </w:r>
    </w:p>
    <w:p>
      <w:pPr>
        <w:widowControl/>
      </w:pPr>
      <w:r>
        <w:t>TSD staat voor Total Service for Equine Development en is een dienstverlenende tak van T.P.P.S. Paardenenponyspullen. T.P.P.S. Paardenenponyspullen is de verwerkingsverantwoordelijke.</w:t>
      </w:r>
    </w:p>
    <w:p>
      <w:pPr>
        <w:pStyle w:val="Heading1"/>
        <w:widowControl/>
      </w:pPr>
      <w:r>
        <w:t>Deel 1 Privacyverklaring</w:t>
      </w:r>
    </w:p>
    <w:p>
      <w:pPr>
        <w:pStyle w:val="Heading2"/>
        <w:widowControl/>
      </w:pPr>
      <w:r>
        <w:t>1 Voor wie geldt deze verklaring</w:t>
      </w:r>
    </w:p>
    <w:p>
      <w:pPr>
        <w:widowControl/>
      </w:pPr>
      <w:r>
        <w:t>Deze verklaring geldt voor websitebezoekers, (potentiële) klanten, opdrachtgevers, ontvangers van bestellingen, nieuwsbriefabonnees en andere personen die contact hebben met TSD. De verklaring geldt voor de website, webshop, e-mail, formulieren, sociale media, telefoon, afspraken op locatie en overige communicatiekanalen van TSD.</w:t>
      </w:r>
    </w:p>
    <w:p>
      <w:pPr>
        <w:pStyle w:val="Heading2"/>
        <w:widowControl/>
      </w:pPr>
      <w:r>
        <w:t>2 Welke persoonsgegevens verwerkt TSD</w:t>
      </w:r>
    </w:p>
    <w:p>
      <w:pPr>
        <w:widowControl/>
      </w:pPr>
      <w:r>
        <w:t>Afhankelijk van het contact of de dienst kan TSD de volgende gegevens verwerken:</w:t>
      </w:r>
    </w:p>
    <w:p>
      <w:pPr>
        <w:pStyle w:val="ListBullet"/>
        <w:widowControl/>
      </w:pPr>
      <w:r>
        <w:t>naam, adres, postcode, woonplaats, land, e-mailadres en telefoonnummer;</w:t>
      </w:r>
    </w:p>
    <w:p>
      <w:pPr>
        <w:pStyle w:val="ListBullet"/>
        <w:widowControl/>
      </w:pPr>
      <w:r>
        <w:t>accountgegevens en communicatievoorkeuren;</w:t>
      </w:r>
    </w:p>
    <w:p>
      <w:pPr>
        <w:pStyle w:val="ListBullet"/>
        <w:widowControl/>
      </w:pPr>
      <w:r>
        <w:t>bestel-, offerte-, afspraak-, factuur-, betaal- en transactiegegevens;</w:t>
      </w:r>
    </w:p>
    <w:p>
      <w:pPr>
        <w:pStyle w:val="ListBullet"/>
        <w:widowControl/>
      </w:pPr>
      <w:r>
        <w:t>gegevens over het gewenste product, maatwerk, reparatie, tuig, laarzen, lederwaren, paard of opdracht;</w:t>
      </w:r>
    </w:p>
    <w:p>
      <w:pPr>
        <w:pStyle w:val="ListBullet"/>
        <w:widowControl/>
      </w:pPr>
      <w:r>
        <w:t>door de klant aangeleverde maten, foto's, bestanden, teksten, namen voor personalisatie en overige instructies;</w:t>
      </w:r>
    </w:p>
    <w:p>
      <w:pPr>
        <w:pStyle w:val="ListBullet"/>
        <w:widowControl/>
      </w:pPr>
      <w:r>
        <w:t>bezorgadres, afleverinstructies en gegevens die nodig zijn voor verzending of uitvoering op locatie;</w:t>
      </w:r>
    </w:p>
    <w:p>
      <w:pPr>
        <w:pStyle w:val="ListBullet"/>
        <w:widowControl/>
      </w:pPr>
      <w:r>
        <w:t>inhoud van e-mails, formulieren, berichten, klachten, retouraanvragen en andere correspondentie;</w:t>
      </w:r>
    </w:p>
    <w:p>
      <w:pPr>
        <w:pStyle w:val="ListBullet"/>
        <w:widowControl/>
      </w:pPr>
      <w:r>
        <w:t>nieuwsbriefkeuzes, toestemming, intrekking en interactie met verzonden berichten;</w:t>
      </w:r>
    </w:p>
    <w:p>
      <w:pPr>
        <w:pStyle w:val="ListBullet"/>
        <w:widowControl/>
      </w:pPr>
      <w:r>
        <w:t>reviews, reacties en openbare berichten op sociale media;</w:t>
      </w:r>
    </w:p>
    <w:p>
      <w:pPr>
        <w:pStyle w:val="ListBullet"/>
        <w:widowControl/>
      </w:pPr>
      <w:r>
        <w:t>technische gegevens, zoals IP-adres, browser, apparaat, tijdstip, bezochte pagina's, foutmeldingen en beveiligingslogboeken;</w:t>
      </w:r>
    </w:p>
    <w:p>
      <w:pPr>
        <w:pStyle w:val="ListBullet"/>
        <w:widowControl/>
      </w:pPr>
      <w:r>
        <w:t>cookievoorkeuren en gegevens die via toegestane cookies of vergelijkbare technieken worden verzameld.</w:t>
      </w:r>
    </w:p>
    <w:p>
      <w:pPr>
        <w:widowControl/>
      </w:pPr>
      <w:r>
        <w:t>TSD vraagt niet om bijzondere persoonsgegevens, zoals medische gegevens, tenzij dit in een uitzonderlijke situatie strikt noodzakelijk is voor een veilige uitvoering en er een geldige wettelijke grondslag bestaat. Deel dergelijke gegevens niet zonder noodzaak.</w:t>
      </w:r>
    </w:p>
    <w:p>
      <w:pPr>
        <w:pStyle w:val="Heading2"/>
        <w:widowControl/>
      </w:pPr>
      <w:r>
        <w:t>3 Doelen en grondslagen</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2088"/>
            <w:shd w:fill="3A3A3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b/>
                <w:color w:val="FFFFFF"/>
                <w:sz w:val="19"/>
              </w:rPr>
              <w:t>Doel</w:t>
            </w:r>
          </w:p>
        </w:tc>
        <w:tc>
          <w:tcPr>
            <w:tcW w:type="dxa" w:w="4392"/>
            <w:shd w:fill="3A3A3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b/>
                <w:color w:val="FFFFFF"/>
                <w:sz w:val="19"/>
              </w:rPr>
              <w:t>Voorbeelden</w:t>
            </w:r>
          </w:p>
        </w:tc>
        <w:tc>
          <w:tcPr>
            <w:tcW w:type="dxa" w:w="3240"/>
            <w:shd w:fill="3A3A3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b/>
                <w:color w:val="FFFFFF"/>
                <w:sz w:val="19"/>
              </w:rPr>
              <w:t>Grondslag</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Contact en offertes</w:t>
            </w:r>
          </w:p>
        </w:tc>
        <w:tc>
          <w:tcPr>
            <w:tcW w:type="dxa" w:w="43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Vragen beantwoorden, mogelijkheden bespreken en een offerte opstellen.</w:t>
            </w:r>
          </w:p>
        </w:tc>
        <w:tc>
          <w:tcPr>
            <w:tcW w:type="dxa" w:w="32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Stappen vóór een overeenkomst of gerechtvaardigd belang.</w:t>
            </w:r>
          </w:p>
        </w:tc>
      </w:tr>
      <w:tr>
        <w:trPr>
          <w:cantSplit/>
        </w:trPr>
        <w:tc>
          <w:tcPr>
            <w:tcW w:type="dxa" w:w="2088"/>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Bestellingen en diensten</w:t>
            </w:r>
          </w:p>
        </w:tc>
        <w:tc>
          <w:tcPr>
            <w:tcW w:type="dxa" w:w="4392"/>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Bestelling, afspraak, reparatie, maatwerk, levering, retour of terugbetaling uitvoeren.</w:t>
            </w:r>
          </w:p>
        </w:tc>
        <w:tc>
          <w:tcPr>
            <w:tcW w:type="dxa" w:w="3240"/>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Uitvoering van de overeenkomst.</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Betaling en administratie</w:t>
            </w:r>
          </w:p>
        </w:tc>
        <w:tc>
          <w:tcPr>
            <w:tcW w:type="dxa" w:w="43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Betalingen verwerken, factureren, boekhouden en aan fiscale plichten voldoen.</w:t>
            </w:r>
          </w:p>
        </w:tc>
        <w:tc>
          <w:tcPr>
            <w:tcW w:type="dxa" w:w="32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Overeenkomst en wettelijke verplichting.</w:t>
            </w:r>
          </w:p>
        </w:tc>
      </w:tr>
      <w:tr>
        <w:trPr>
          <w:cantSplit/>
        </w:trPr>
        <w:tc>
          <w:tcPr>
            <w:tcW w:type="dxa" w:w="2088"/>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Levering en locatiebezoek</w:t>
            </w:r>
          </w:p>
        </w:tc>
        <w:tc>
          <w:tcPr>
            <w:tcW w:type="dxa" w:w="4392"/>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Een pakket verzenden, bezorgen of een afgesproken dienst op locatie uitvoeren.</w:t>
            </w:r>
          </w:p>
        </w:tc>
        <w:tc>
          <w:tcPr>
            <w:tcW w:type="dxa" w:w="3240"/>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Uitvoering van de overeenkomst.</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Klantenservice</w:t>
            </w:r>
          </w:p>
        </w:tc>
        <w:tc>
          <w:tcPr>
            <w:tcW w:type="dxa" w:w="43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Klachten, garantie, veiligheid, geschillen en terugroepacties behandelen.</w:t>
            </w:r>
          </w:p>
        </w:tc>
        <w:tc>
          <w:tcPr>
            <w:tcW w:type="dxa" w:w="32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Overeenkomst, wettelijke verplichting of gerechtvaardigd belang.</w:t>
            </w:r>
          </w:p>
        </w:tc>
      </w:tr>
      <w:tr>
        <w:trPr>
          <w:cantSplit/>
        </w:trPr>
        <w:tc>
          <w:tcPr>
            <w:tcW w:type="dxa" w:w="2088"/>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Nieuwsbrief en aanbiedingen</w:t>
            </w:r>
          </w:p>
        </w:tc>
        <w:tc>
          <w:tcPr>
            <w:tcW w:type="dxa" w:w="4392"/>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Commerciële e-mail sturen en voorkeuren beheren.</w:t>
            </w:r>
          </w:p>
        </w:tc>
        <w:tc>
          <w:tcPr>
            <w:tcW w:type="dxa" w:w="3240"/>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Toestemming, of de wettelijke klantrelatie-uitzondering als die geldt.</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Website en beveiliging</w:t>
            </w:r>
          </w:p>
        </w:tc>
        <w:tc>
          <w:tcPr>
            <w:tcW w:type="dxa" w:w="43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Website laten werken, misbruik voorkomen, storingen onderzoeken en beveiligen.</w:t>
            </w:r>
          </w:p>
        </w:tc>
        <w:tc>
          <w:tcPr>
            <w:tcW w:type="dxa" w:w="32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Gerechtvaardigd belang en, waar vereist, toestemming.</w:t>
            </w:r>
          </w:p>
        </w:tc>
      </w:tr>
      <w:tr>
        <w:trPr>
          <w:cantSplit/>
        </w:trPr>
        <w:tc>
          <w:tcPr>
            <w:tcW w:type="dxa" w:w="2088"/>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Analyse en marketing</w:t>
            </w:r>
          </w:p>
        </w:tc>
        <w:tc>
          <w:tcPr>
            <w:tcW w:type="dxa" w:w="4392"/>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Websitegebruik meten en advertenties of inhoud afstemmen.</w:t>
            </w:r>
          </w:p>
        </w:tc>
        <w:tc>
          <w:tcPr>
            <w:tcW w:type="dxa" w:w="3240"/>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Toestemming wanneer dit wettelijk vereist is.</w:t>
            </w:r>
          </w:p>
        </w:tc>
      </w:tr>
    </w:tbl>
    <w:p>
      <w:pPr>
        <w:widowControl/>
        <w:spacing w:after="0"/>
      </w:pPr>
    </w:p>
    <w:p>
      <w:pPr>
        <w:widowControl/>
      </w:pPr>
      <w:r>
        <w:t>Wanneer TSD zich beroept op een gerechtvaardigd belang, gaat het bijvoorbeeld om fraudepreventie, beveiliging, bedrijfsvoering, bewijs van afspraken en verbetering van de dienstverlening. TSD weegt dit belang af tegen de privacybelangen van de betrokkene.</w:t>
      </w:r>
    </w:p>
    <w:p>
      <w:pPr>
        <w:pStyle w:val="Heading2"/>
        <w:widowControl/>
      </w:pPr>
      <w:r>
        <w:t>4 Verplichte en vrijwillige gegevens</w:t>
      </w:r>
    </w:p>
    <w:p>
      <w:pPr>
        <w:widowControl/>
      </w:pPr>
      <w:r>
        <w:t>Gegevens die nodig zijn om een bestelling, betaling, levering, offerte of afspraak uit te voeren, moeten worden verstrekt. Zonder deze gegevens kan TSD de aanvraag of overeenkomst mogelijk niet uitvoeren. Gegevens voor nieuwsbrieven, marketingcookies en niet-noodzakelijke personalisatie zijn vrijwillig. Toestemming kan altijd worden ingetrokken zonder dat dit gevolgen heeft voor de rechtmatigheid van eerder gebruik.</w:t>
      </w:r>
    </w:p>
    <w:p>
      <w:pPr>
        <w:pStyle w:val="Heading2"/>
        <w:widowControl/>
      </w:pPr>
      <w:r>
        <w:t>5 Ontvangers en dienstverleners</w:t>
      </w:r>
    </w:p>
    <w:p>
      <w:pPr>
        <w:widowControl/>
      </w:pPr>
      <w:r>
        <w:t>TSD deelt persoonsgegevens alleen wanneer dat nodig is. Mogelijke ontvangers zijn:</w:t>
      </w:r>
    </w:p>
    <w:p>
      <w:pPr>
        <w:pStyle w:val="ListBullet"/>
        <w:widowControl/>
      </w:pPr>
      <w:r>
        <w:t>website-, webshop-, hosting-, e-mail-, beveiligings- en IT-dienstverleners, waaronder diensten rondom WordPress en WooCommerce;</w:t>
      </w:r>
    </w:p>
    <w:p>
      <w:pPr>
        <w:pStyle w:val="ListBullet"/>
        <w:widowControl/>
      </w:pPr>
      <w:r>
        <w:t>betaaldienstverleners en financiële partijen, waaronder Mollie, Stripe en SumUp, afhankelijk van de gekozen betaalmethode;</w:t>
      </w:r>
    </w:p>
    <w:p>
      <w:pPr>
        <w:pStyle w:val="ListBullet"/>
        <w:widowControl/>
      </w:pPr>
      <w:r>
        <w:t>vervoerders en bezorgdiensten, waaronder DPD, postdiensten of een andere gekozen vervoerder;</w:t>
      </w:r>
    </w:p>
    <w:p>
      <w:pPr>
        <w:pStyle w:val="ListBullet"/>
        <w:widowControl/>
      </w:pPr>
      <w:r>
        <w:t>boekhouder, accountant, administratieve dienstverleners en zakelijke adviseurs;</w:t>
      </w:r>
    </w:p>
    <w:p>
      <w:pPr>
        <w:pStyle w:val="ListBullet"/>
        <w:widowControl/>
      </w:pPr>
      <w:r>
        <w:t>leveranciers of uitvoerende partners, maar alleen wanneer dit noodzakelijk is voor de bestelling of opdracht;</w:t>
      </w:r>
    </w:p>
    <w:p>
      <w:pPr>
        <w:pStyle w:val="ListBullet"/>
        <w:widowControl/>
      </w:pPr>
      <w:r>
        <w:t>marketing-, nieuwsbrief-, analyse- of socialemediadienstverleners, voor zover deze zijn ingeschakeld en de vereiste toestemming is verkregen;</w:t>
      </w:r>
    </w:p>
    <w:p>
      <w:pPr>
        <w:pStyle w:val="ListBullet"/>
        <w:widowControl/>
      </w:pPr>
      <w:r>
        <w:t>overheidsinstanties, toezichthouders, opsporingsinstanties, verzekeraars of juridische dienstverleners wanneer dit wettelijk verplicht of noodzakelijk is.</w:t>
      </w:r>
    </w:p>
    <w:p>
      <w:pPr>
        <w:widowControl/>
      </w:pPr>
      <w:r>
        <w:t>Dienstverleners ontvangen niet meer gegevens dan nodig. Waar een partij gegevens in opdracht van TSD verwerkt, maakt TSD passende afspraken over beveiliging, vertrouwelijkheid en gebruik. Sommige partijen zijn voor hun eigen wettelijke taken zelfstandig verantwoordelijk.</w:t>
      </w:r>
    </w:p>
    <w:p>
      <w:pPr>
        <w:pStyle w:val="Heading2"/>
        <w:widowControl/>
      </w:pPr>
      <w:r>
        <w:t>6 Doorgifte buiten de Europese Economische Ruimte</w:t>
      </w:r>
    </w:p>
    <w:p>
      <w:pPr>
        <w:widowControl/>
      </w:pPr>
      <w:r>
        <w:t>Sommige technische of betaaldienstverleners kunnen persoonsgegevens buiten de Europese Economische Ruimte verwerken. TSD gebruikt zulke diensten alleen wanneer een geldige doorgiftegrond bestaat, bijvoorbeeld een adequaatheidsbesluit, goedgekeurde standaardcontractbepalingen en waar nodig aanvullende beschermingsmaatregelen.</w:t>
      </w:r>
    </w:p>
    <w:p>
      <w:pPr>
        <w:pStyle w:val="Heading2"/>
        <w:widowControl/>
      </w:pPr>
      <w:r>
        <w:t>7 Bewaartermijnen</w:t>
      </w:r>
    </w:p>
    <w:p>
      <w:pPr>
        <w:widowControl/>
      </w:pPr>
      <w:r>
        <w:t>TSD bewaart persoonsgegevens niet langer dan nodig. In beginsel gelden de volgende termijnen:</w:t>
      </w:r>
    </w:p>
    <w:tbl>
      <w:tblPr>
        <w:tblW w:type="auto" w:w="0"/>
        <w:jc w:val="center"/>
        <w:tblLayout w:type="fixed"/>
        <w:tblLook w:firstColumn="1" w:firstRow="1" w:lastColumn="0" w:lastRow="0" w:noHBand="0" w:noVBand="1" w:val="04A0"/>
      </w:tblPr>
      <w:tblGrid>
        <w:gridCol w:w="4939"/>
        <w:gridCol w:w="4939"/>
      </w:tblGrid>
      <w:tr>
        <w:trPr>
          <w:tblHeader w:val="true"/>
        </w:trPr>
        <w:tc>
          <w:tcPr>
            <w:tcW w:type="dxa" w:w="3816"/>
            <w:shd w:fill="3A3A3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b/>
                <w:color w:val="FFFFFF"/>
                <w:sz w:val="19"/>
              </w:rPr>
              <w:t>Gegevens</w:t>
            </w:r>
          </w:p>
        </w:tc>
        <w:tc>
          <w:tcPr>
            <w:tcW w:type="dxa" w:w="5904"/>
            <w:shd w:fill="3A3A3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b/>
                <w:color w:val="FFFFFF"/>
                <w:sz w:val="19"/>
              </w:rPr>
              <w:t>Gebruikelijke bewaartermijn</w:t>
            </w:r>
          </w:p>
        </w:tc>
      </w:tr>
      <w:tr>
        <w:trPr>
          <w:cantSplit/>
        </w:trPr>
        <w:tc>
          <w:tcPr>
            <w:tcW w:type="dxa" w:w="381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Financiële administratie, facturen en relevante bestelgegevens</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Minimaal 7 jaar na afloop van het betreffende boekjaar, of langer als een wettelijke uitzondering dit vereist.</w:t>
            </w:r>
          </w:p>
        </w:tc>
      </w:tr>
      <w:tr>
        <w:trPr>
          <w:cantSplit/>
        </w:trPr>
        <w:tc>
          <w:tcPr>
            <w:tcW w:type="dxa" w:w="3816"/>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Offertes zonder opdracht</w:t>
            </w:r>
          </w:p>
        </w:tc>
        <w:tc>
          <w:tcPr>
            <w:tcW w:type="dxa" w:w="5904"/>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Maximaal 2 jaar na het laatste contact, tenzij langer bewaren nodig is voor een geschil of op verzoek.</w:t>
            </w:r>
          </w:p>
        </w:tc>
      </w:tr>
      <w:tr>
        <w:trPr>
          <w:cantSplit/>
        </w:trPr>
        <w:tc>
          <w:tcPr>
            <w:tcW w:type="dxa" w:w="381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Klantcontact en servicedossiers</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Maximaal 2 jaar na afronding, tenzij de gegevens bij de financiële administratie horen of langer nodig zijn voor garantie, veiligheid of een geschil.</w:t>
            </w:r>
          </w:p>
        </w:tc>
      </w:tr>
      <w:tr>
        <w:trPr>
          <w:cantSplit/>
        </w:trPr>
        <w:tc>
          <w:tcPr>
            <w:tcW w:type="dxa" w:w="3816"/>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Klantaccount</w:t>
            </w:r>
          </w:p>
        </w:tc>
        <w:tc>
          <w:tcPr>
            <w:tcW w:type="dxa" w:w="5904"/>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Tot verwijdering door de klant of maximaal 2 jaar na langdurige inactiviteit, voor zover wettelijke administratiegegevens afzonderlijk bewaard moeten blijven.</w:t>
            </w:r>
          </w:p>
        </w:tc>
      </w:tr>
      <w:tr>
        <w:trPr>
          <w:cantSplit/>
        </w:trPr>
        <w:tc>
          <w:tcPr>
            <w:tcW w:type="dxa" w:w="381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Nieuwsbriefgegevens</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Tot afmelding. Een beperkte registratie van de afmelding kan worden bewaard om te voorkomen dat opnieuw wordt gemaild.</w:t>
            </w:r>
          </w:p>
        </w:tc>
      </w:tr>
      <w:tr>
        <w:trPr>
          <w:cantSplit/>
        </w:trPr>
        <w:tc>
          <w:tcPr>
            <w:tcW w:type="dxa" w:w="3816"/>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Beveiligings- en serverlogboeken</w:t>
            </w:r>
          </w:p>
        </w:tc>
        <w:tc>
          <w:tcPr>
            <w:tcW w:type="dxa" w:w="5904"/>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In beginsel maximaal 6 maanden, tenzij een incident nader onderzoek vereist.</w:t>
            </w:r>
          </w:p>
        </w:tc>
      </w:tr>
      <w:tr>
        <w:trPr>
          <w:cantSplit/>
        </w:trPr>
        <w:tc>
          <w:tcPr>
            <w:tcW w:type="dxa" w:w="381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Cookiegegevens</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Volgens het cookieoverzicht en de ingestelde levensduur, of tot verwijdering of intrekking van toestemming.</w:t>
            </w:r>
          </w:p>
        </w:tc>
      </w:tr>
    </w:tbl>
    <w:p>
      <w:pPr>
        <w:widowControl/>
        <w:spacing w:after="0"/>
      </w:pPr>
    </w:p>
    <w:p>
      <w:pPr>
        <w:pStyle w:val="Heading2"/>
        <w:widowControl/>
      </w:pPr>
      <w:r>
        <w:t>8 Beveiliging</w:t>
      </w:r>
    </w:p>
    <w:p>
      <w:pPr>
        <w:widowControl/>
      </w:pPr>
      <w:r>
        <w:t>TSD neemt passende technische en organisatorische maatregelen om persoonsgegevens te beschermen tegen verlies, onbevoegde toegang, wijziging of misbruik. Voorbeelden zijn toegangsbeperking, sterke authenticatie waar beschikbaar, beveiligde verbindingen, updates, back-ups en zorgvuldige selectie van dienstverleners. Geen enkele digitale verwerking is volledig zonder risico.</w:t>
      </w:r>
    </w:p>
    <w:p>
      <w:pPr>
        <w:pStyle w:val="Heading2"/>
        <w:widowControl/>
      </w:pPr>
      <w:r>
        <w:t>9 Privacyrechten</w:t>
      </w:r>
    </w:p>
    <w:p>
      <w:pPr>
        <w:widowControl/>
      </w:pPr>
      <w:r>
        <w:t>Iedere betrokkene kan, voor zover de wet dit toestaat, verzoeken om:</w:t>
      </w:r>
    </w:p>
    <w:p>
      <w:pPr>
        <w:pStyle w:val="ListBullet"/>
        <w:widowControl/>
      </w:pPr>
      <w:r>
        <w:t>informatie over en inzage in persoonsgegevens;</w:t>
      </w:r>
    </w:p>
    <w:p>
      <w:pPr>
        <w:pStyle w:val="ListBullet"/>
        <w:widowControl/>
      </w:pPr>
      <w:r>
        <w:t>correctie van onjuiste of onvolledige gegevens;</w:t>
      </w:r>
    </w:p>
    <w:p>
      <w:pPr>
        <w:pStyle w:val="ListBullet"/>
        <w:widowControl/>
      </w:pPr>
      <w:r>
        <w:t>verwijdering van gegevens;</w:t>
      </w:r>
    </w:p>
    <w:p>
      <w:pPr>
        <w:pStyle w:val="ListBullet"/>
        <w:widowControl/>
      </w:pPr>
      <w:r>
        <w:t>beperking van het gebruik;</w:t>
      </w:r>
    </w:p>
    <w:p>
      <w:pPr>
        <w:pStyle w:val="ListBullet"/>
        <w:widowControl/>
      </w:pPr>
      <w:r>
        <w:t>overdracht van gegevens in een gangbaar formaat;</w:t>
      </w:r>
    </w:p>
    <w:p>
      <w:pPr>
        <w:pStyle w:val="ListBullet"/>
        <w:widowControl/>
      </w:pPr>
      <w:r>
        <w:t>bezwaar tegen verwerking op grond van een gerechtvaardigd belang of tegen direct marketing;</w:t>
      </w:r>
    </w:p>
    <w:p>
      <w:pPr>
        <w:pStyle w:val="ListBullet"/>
        <w:widowControl/>
      </w:pPr>
      <w:r>
        <w:t>intrekking van eerder gegeven toestemming.</w:t>
      </w:r>
    </w:p>
    <w:p>
      <w:pPr>
        <w:widowControl/>
      </w:pPr>
      <w:r>
        <w:t>Een verzoek kan worden gestuurd naar tsdhandmade@gmail.com. TSD kan om aanvullende informatie vragen om de identiteit van de aanvrager te controleren. TSD reageert in beginsel binnen één maand. Bij een ingewikkeld verzoek of meerdere verzoeken kan deze termijn volgens de wet worden verlengd. Wettelijke bewaarplichten en rechten van anderen kunnen betekenen dat een verzoek niet volledig kan worden uitgevoerd.</w:t>
      </w:r>
    </w:p>
    <w:p>
      <w:pPr>
        <w:pStyle w:val="Heading2"/>
        <w:widowControl/>
      </w:pPr>
      <w:r>
        <w:t>10 Klacht indienen</w:t>
      </w:r>
    </w:p>
    <w:p>
      <w:pPr>
        <w:widowControl/>
      </w:pPr>
      <w:r>
        <w:t>Wie een vraag of klacht heeft over privacy kan eerst contact opnemen met TSD via tsdhandmade@gmail.com. Daarnaast kan een klacht worden ingediend bij de Autoriteit Persoonsgegevens via autoriteitpersoonsgegevens.nl.</w:t>
      </w:r>
    </w:p>
    <w:p>
      <w:pPr>
        <w:pStyle w:val="Heading2"/>
        <w:widowControl/>
      </w:pPr>
      <w:r>
        <w:t>11 Geautomatiseerde besluiten</w:t>
      </w:r>
    </w:p>
    <w:p>
      <w:pPr>
        <w:widowControl/>
      </w:pPr>
      <w:r>
        <w:t>TSD neemt zelf geen besluiten die uitsluitend zijn gebaseerd op geautomatiseerde verwerking en die voor een persoon aanzienlijke rechtsgevolgen hebben. Betaaldienstverleners kunnen zelfstandig fraude- of risicocontroles uitvoeren. Meer informatie daarover staat in hun eigen privacyverklaringen.</w:t>
      </w:r>
    </w:p>
    <w:p>
      <w:pPr>
        <w:pStyle w:val="Heading2"/>
        <w:widowControl/>
      </w:pPr>
      <w:r>
        <w:t>12 Minderjarigen</w:t>
      </w:r>
    </w:p>
    <w:p>
      <w:pPr>
        <w:widowControl/>
      </w:pPr>
      <w:r>
        <w:t>TSD verwerkt niet bewust op toestemming gebaseerde gegevens van kinderen jonger dan 16 jaar zonder toestemming van een ouder of wettelijke vertegenwoordiger. Een ouder of vertegenwoordiger kan contact opnemen als gegevens van een minderjarige onjuist of zonder geldige toestemming zijn verwerkt.</w:t>
      </w:r>
    </w:p>
    <w:p>
      <w:pPr>
        <w:pStyle w:val="Heading1"/>
        <w:widowControl/>
      </w:pPr>
      <w:r>
        <w:t>Deel 2 Cookiebeleid</w:t>
      </w:r>
    </w:p>
    <w:p>
      <w:pPr>
        <w:pStyle w:val="Heading2"/>
        <w:widowControl/>
      </w:pPr>
      <w:r>
        <w:t>13 Wat zijn cookies</w:t>
      </w:r>
    </w:p>
    <w:p>
      <w:pPr>
        <w:widowControl/>
      </w:pPr>
      <w:r>
        <w:t>Cookies zijn kleine tekstbestanden die bij een websitebezoek op een apparaat kunnen worden geplaatst of uitgelezen. Vergelijkbare technieken zijn bijvoorbeeld lokale opslag, pixels en scripts. In dit beleid worden deze technieken samen cookies genoemd.</w:t>
      </w:r>
    </w:p>
    <w:p>
      <w:pPr>
        <w:pStyle w:val="Heading2"/>
        <w:widowControl/>
      </w:pPr>
      <w:r>
        <w:t>14 Welke soorten cookies kan TSD gebruiken</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1728"/>
            <w:shd w:fill="3A3A3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b/>
                <w:color w:val="FFFFFF"/>
                <w:sz w:val="19"/>
              </w:rPr>
              <w:t>Categorie</w:t>
            </w:r>
          </w:p>
        </w:tc>
        <w:tc>
          <w:tcPr>
            <w:tcW w:type="dxa" w:w="5256"/>
            <w:shd w:fill="3A3A3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b/>
                <w:color w:val="FFFFFF"/>
                <w:sz w:val="19"/>
              </w:rPr>
              <w:t>Doel</w:t>
            </w:r>
          </w:p>
        </w:tc>
        <w:tc>
          <w:tcPr>
            <w:tcW w:type="dxa" w:w="2736"/>
            <w:shd w:fill="3A3A3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b/>
                <w:color w:val="FFFFFF"/>
                <w:sz w:val="19"/>
              </w:rPr>
              <w:t>Toestemming</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Noodzakelijk</w:t>
            </w:r>
          </w:p>
        </w:tc>
        <w:tc>
          <w:tcPr>
            <w:tcW w:type="dxa" w:w="52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Winkelmand, afrekenen, beveiliging, sessie, cookievoorkeuren en basisfuncties van de website.</w:t>
            </w:r>
          </w:p>
        </w:tc>
        <w:tc>
          <w:tcPr>
            <w:tcW w:type="dxa" w:w="273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Niet vereist als de cookie strikt noodzakelijk is.</w:t>
            </w:r>
          </w:p>
        </w:tc>
      </w:tr>
      <w:tr>
        <w:trPr>
          <w:cantSplit/>
        </w:trPr>
        <w:tc>
          <w:tcPr>
            <w:tcW w:type="dxa" w:w="1728"/>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Voorkeuren</w:t>
            </w:r>
          </w:p>
        </w:tc>
        <w:tc>
          <w:tcPr>
            <w:tcW w:type="dxa" w:w="5256"/>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Onthouden van keuzes die niet strikt noodzakelijk zijn, zoals bepaalde weergave- of taalvoorkeuren.</w:t>
            </w:r>
          </w:p>
        </w:tc>
        <w:tc>
          <w:tcPr>
            <w:tcW w:type="dxa" w:w="2736"/>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Vooraf vereist als de wettelijke uitzondering niet geldt.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Analytisch</w:t>
            </w:r>
          </w:p>
        </w:tc>
        <w:tc>
          <w:tcPr>
            <w:tcW w:type="dxa" w:w="52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Meten hoe de website wordt gebruikt en waar technische of inhoudelijke verbeteringen nodig zijn.</w:t>
            </w:r>
          </w:p>
        </w:tc>
        <w:tc>
          <w:tcPr>
            <w:tcW w:type="dxa" w:w="273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Niet vereist bij geringe privacy-impact; anders vooraf vereist.</w:t>
            </w:r>
          </w:p>
        </w:tc>
      </w:tr>
      <w:tr>
        <w:trPr>
          <w:cantSplit/>
        </w:trPr>
        <w:tc>
          <w:tcPr>
            <w:tcW w:type="dxa" w:w="1728"/>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Marketing</w:t>
            </w:r>
          </w:p>
        </w:tc>
        <w:tc>
          <w:tcPr>
            <w:tcW w:type="dxa" w:w="5256"/>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Bezoekers volgen, profielen maken, advertenties meten of advertenties op interesses afstemmen.</w:t>
            </w:r>
          </w:p>
        </w:tc>
        <w:tc>
          <w:tcPr>
            <w:tcW w:type="dxa" w:w="2736"/>
            <w:shd w:fill="F4F4F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Altijd vooraf vereist.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Externe media</w:t>
            </w:r>
          </w:p>
        </w:tc>
        <w:tc>
          <w:tcPr>
            <w:tcW w:type="dxa" w:w="52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Inhoud van bijvoorbeeld video-, kaart- of socialemediaplatforms tonen.</w:t>
            </w:r>
          </w:p>
        </w:tc>
        <w:tc>
          <w:tcPr>
            <w:tcW w:type="dxa" w:w="273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line="252" w:lineRule="auto"/>
            </w:pPr>
            <w:r>
              <w:rPr>
                <w:sz w:val="18"/>
              </w:rPr>
              <w:t>Vooraf vereist als de externe partij niet-noodzakelijke cookies plaatst.</w:t>
            </w:r>
          </w:p>
        </w:tc>
      </w:tr>
    </w:tbl>
    <w:p>
      <w:pPr>
        <w:widowControl/>
        <w:spacing w:after="0"/>
      </w:pPr>
    </w:p>
    <w:p>
      <w:pPr>
        <w:pStyle w:val="Heading2"/>
        <w:widowControl/>
      </w:pPr>
      <w:r>
        <w:t>15 Toestemming en cookie-instellingen</w:t>
      </w:r>
    </w:p>
    <w:p>
      <w:pPr>
        <w:widowControl/>
      </w:pPr>
      <w:r>
        <w:t>Bij het eerste bezoek toont de website een cookiemelding wanneer toestemming nodig is. Niet-noodzakelijke cookies worden pas geplaatst of uitgelezen nadat de bezoeker daarvoor een vrije, specifieke en geïnformeerde keuze heeft gemaakt. Accepteren en weigeren worden als gelijkwaardige keuzes aangeboden. Vooraf aangevinkte vakjes worden niet gebruikt.</w:t>
      </w:r>
    </w:p>
    <w:p>
      <w:pPr>
        <w:widowControl/>
      </w:pPr>
      <w:r>
        <w:t>De bezoeker kan de toestemming later wijzigen of intrekken via de link Cookie-instellingen op de website. Intrekken is even eenvoudig als toestemming geven. Het intrekken heeft geen terugwerkende kracht. Reeds geplaatste cookies kunnen daarnaast via de browser worden verwijderd.</w:t>
      </w:r>
    </w:p>
    <w:p>
      <w:pPr>
        <w:pStyle w:val="Heading2"/>
        <w:widowControl/>
      </w:pPr>
      <w:r>
        <w:t>16 Actueel cookieoverzicht</w:t>
      </w:r>
    </w:p>
    <w:p>
      <w:pPr>
        <w:widowControl/>
      </w:pPr>
      <w:r>
        <w:t>De concrete cookies kunnen veranderen door updates van WordPress, WooCommerce, betaalmethoden, beveiliging of andere ingeschakelde functies. De actuele cookiemelding of het cookie-instellingenpaneel op de website vermeldt per cookie of dienst, voor zover van toepassing:</w:t>
      </w:r>
    </w:p>
    <w:p>
      <w:pPr>
        <w:pStyle w:val="ListBullet"/>
        <w:widowControl/>
      </w:pPr>
      <w:r>
        <w:t>naam en aanbieder;</w:t>
      </w:r>
    </w:p>
    <w:p>
      <w:pPr>
        <w:pStyle w:val="ListBullet"/>
        <w:widowControl/>
      </w:pPr>
      <w:r>
        <w:t>doel en categorie;</w:t>
      </w:r>
    </w:p>
    <w:p>
      <w:pPr>
        <w:pStyle w:val="ListBullet"/>
        <w:widowControl/>
      </w:pPr>
      <w:r>
        <w:t>of het een eigen cookie of cookie van een derde partij is;</w:t>
      </w:r>
    </w:p>
    <w:p>
      <w:pPr>
        <w:pStyle w:val="ListBullet"/>
        <w:widowControl/>
      </w:pPr>
      <w:r>
        <w:t>levensduur of bewaartermijn;</w:t>
      </w:r>
    </w:p>
    <w:p>
      <w:pPr>
        <w:pStyle w:val="ListBullet"/>
        <w:widowControl/>
      </w:pPr>
      <w:r>
        <w:t>de toestemmingsstatus.</w:t>
      </w:r>
    </w:p>
    <w:p>
      <w:pPr>
        <w:widowControl/>
      </w:pPr>
      <w:r>
        <w:t>Het actuele overzicht in het cookie-instellingenpaneel vormt onderdeel van dit cookiebeleid. TSD controleert dit overzicht periodiek en na belangrijke wijzigingen aan de website.</w:t>
      </w:r>
    </w:p>
    <w:p>
      <w:pPr>
        <w:pStyle w:val="Heading2"/>
        <w:widowControl/>
      </w:pPr>
      <w:r>
        <w:t>17 Cookies van webshop en betalingen</w:t>
      </w:r>
    </w:p>
    <w:p>
      <w:pPr>
        <w:widowControl/>
      </w:pPr>
      <w:r>
        <w:t>De webshop kan noodzakelijke cookies gebruiken om een winkelmand te onthouden, een sessie te beveiligen, een bestelling te verwerken en dubbele transacties te voorkomen. Tijdens het betalen kan de gekozen betaaldienstverlener noodzakelijke technische gegevens en cookies gebruiken voor betaling, beveiliging en fraudepreventie. De gekozen betaaldienstverlener kan daarnaast een eigen privacy- en cookiebeleid hebben.</w:t>
      </w:r>
    </w:p>
    <w:p>
      <w:pPr>
        <w:pStyle w:val="Heading2"/>
        <w:widowControl/>
      </w:pPr>
      <w:r>
        <w:t>18 Analytische cookies</w:t>
      </w:r>
    </w:p>
    <w:p>
      <w:pPr>
        <w:widowControl/>
      </w:pPr>
      <w:r>
        <w:t>TSD kan analytische cookies gebruiken om bezoekersaantallen, gebruikte pagina's, fouten en algemene gebruikspatronen te meten. Als de analyse zo is ingesteld dat deze slechts geringe gevolgen voor de privacy heeft, kan deze onder de wettelijke uitzondering vallen. Wanneer gegevens uitgebreider worden gevolgd, met andere gegevens worden gecombineerd of voor profilering worden gebruikt, vraagt TSD vooraf toestemming.</w:t>
      </w:r>
    </w:p>
    <w:p>
      <w:pPr>
        <w:pStyle w:val="Heading2"/>
        <w:widowControl/>
      </w:pPr>
      <w:r>
        <w:t>19 Marketing en sociale media</w:t>
      </w:r>
    </w:p>
    <w:p>
      <w:pPr>
        <w:widowControl/>
      </w:pPr>
      <w:r>
        <w:t>Marketingcookies en pixels worden alleen geactiveerd na toestemming. Dit geldt ook voor technieken waarmee advertentieplatforms websitebezoek kunnen koppelen aan een profiel. Gewone links naar sociale media plaatsen vanuit de TSD-website niet automatisch cookies van dat platform; na het openen van de externe website gelden de voorwaarden van die aanbieder. Ingesloten sociale media, video's of kaarten worden waar nodig geblokkeerd totdat toestemming is gegeven.</w:t>
      </w:r>
    </w:p>
    <w:p>
      <w:pPr>
        <w:pStyle w:val="Heading2"/>
        <w:widowControl/>
      </w:pPr>
      <w:r>
        <w:t>20 Cookies verwijderen of blokkeren</w:t>
      </w:r>
    </w:p>
    <w:p>
      <w:pPr>
        <w:widowControl/>
      </w:pPr>
      <w:r>
        <w:t>Via de browserinstellingen kunnen cookies worden verwijderd, automatisch geweigerd of na iedere sessie gewist. Het blokkeren van noodzakelijke cookies kan ertoe leiden dat de winkelmand, het afrekenen, inloggen of andere onderdelen niet goed werken. De instellingen verschillen per browser en apparaat; raadpleeg daarvoor de helpfunctie van de gebruikte browser.</w:t>
      </w:r>
    </w:p>
    <w:p>
      <w:pPr>
        <w:pStyle w:val="Heading2"/>
        <w:widowControl/>
      </w:pPr>
      <w:r>
        <w:t>21 Wijzigingen</w:t>
      </w:r>
    </w:p>
    <w:p>
      <w:pPr>
        <w:widowControl/>
      </w:pPr>
      <w:r>
        <w:t>TSD kan deze privacyverklaring en dit cookiebeleid aanpassen wanneer de dienstverlening, website, gebruikte systemen of wetgeving verandert. De nieuwste versie wordt op de website gepubliceerd met een nieuwe versiedatum. Bij een belangrijke wijziging informeert TSD betrokkenen op een passende manier.</w:t>
      </w:r>
    </w:p>
    <w:p>
      <w:pPr>
        <w:widowControl/>
      </w:pPr>
      <w:r>
        <w:br w:type="page"/>
      </w:r>
    </w:p>
    <w:p>
      <w:pPr>
        <w:pStyle w:val="Heading1"/>
        <w:widowControl/>
      </w:pPr>
      <w:r>
        <w:t>Bedrijfsgegevens en contact</w:t>
      </w:r>
    </w:p>
    <w:p>
      <w:pPr>
        <w:widowControl/>
      </w:pPr>
      <w:r>
        <w:t>TSD - Total Service for Equine Development</w:t>
      </w:r>
    </w:p>
    <w:p>
      <w:pPr>
        <w:widowControl/>
      </w:pPr>
      <w:r>
        <w:t>Dienstverlenende tak van T.P.P.S. Paardenenponyspullen</w:t>
      </w:r>
    </w:p>
    <w:p>
      <w:pPr>
        <w:widowControl/>
      </w:pPr>
      <w:r>
        <w:t>T.P.P.S. Paardenenponyspullen is de verwerkingsverantwoordelijke</w:t>
      </w:r>
    </w:p>
    <w:p>
      <w:pPr>
        <w:widowControl/>
      </w:pPr>
      <w:r>
        <w:t>Pastoor Meriusstraat 158, 1715 VG Spanbroek</w:t>
      </w:r>
    </w:p>
    <w:p>
      <w:pPr>
        <w:widowControl/>
      </w:pPr>
      <w:r>
        <w:rPr>
          <w:b/>
        </w:rPr>
        <w:t>Geen bezoekadres; bezoek is niet mogelijk</w:t>
      </w:r>
    </w:p>
    <w:p>
      <w:pPr>
        <w:widowControl/>
      </w:pPr>
      <w:r>
        <w:t>KvK 80082734</w:t>
      </w:r>
    </w:p>
    <w:p>
      <w:pPr>
        <w:widowControl/>
      </w:pPr>
      <w:r>
        <w:t>Btw NL003391304B66</w:t>
      </w:r>
    </w:p>
    <w:p>
      <w:pPr>
        <w:widowControl/>
      </w:pPr>
      <w:r>
        <w:t>E-mail voor privacyvragen en verzoeken: tsdhandmade@gmail.com</w:t>
      </w:r>
    </w:p>
    <w:p>
      <w:pPr>
        <w:widowControl/>
        <w:spacing w:before="160"/>
      </w:pPr>
      <w:r>
        <w:rPr>
          <w:b/>
        </w:rPr>
        <w:t>Versie 28 september 2026</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Pr>
    <w:r>
      <w:rPr>
        <w:color w:val="6E6E6E"/>
        <w:sz w:val="17"/>
      </w:rPr>
      <w:t xml:space="preserve">TSD Privacyverklaring en cookiebeleid  |  pagina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Liberation Serif" w:hAnsi="Liberation Serif"/>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Liberation Sans" w:hAnsi="Liberation Sans"/>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Liberation Sans" w:hAnsi="Liberation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Liberation Sans" w:hAnsi="Liberation Sans"/>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Liberation Sans" w:hAnsi="Liberation Sans"/>
      <w:i w:val="0"/>
      <w:iCs/>
      <w:color w:val="46464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2" w:lineRule="auto"/>
      <w:contextualSpacing/>
    </w:pPr>
    <w:rPr>
      <w:rFonts w:ascii="Liberation Serif" w:hAnsi="Liberation Serif"/>
      <w:sz w:val="21"/>
    </w:rPr>
  </w:style>
  <w:style w:type="paragraph" w:styleId="ListBullet2">
    <w:name w:val="List Bullet 2"/>
    <w:basedOn w:val="Normal"/>
    <w:uiPriority w:val="99"/>
    <w:unhideWhenUsed/>
    <w:rsid w:val="00326F90"/>
    <w:pPr>
      <w:numPr>
        <w:numId w:val="2"/>
      </w:numPr>
      <w:spacing w:after="60" w:line="252" w:lineRule="auto"/>
      <w:contextualSpacing/>
    </w:pPr>
    <w:rPr>
      <w:rFonts w:ascii="Liberation Serif" w:hAnsi="Liberation Serif"/>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2" w:lineRule="auto"/>
      <w:contextualSpacing/>
    </w:pPr>
    <w:rPr>
      <w:rFonts w:ascii="Liberation Serif" w:hAnsi="Liberation Serif"/>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Privacyverklaring en cookiebeleid TSD</dc:title>
  <dc:subject>Privacy en cookies voor de website en dienstverlening van TSD</dc:subject>
  <dc:creator>T.P.P.S. Paardenenponyspullen</dc:creator>
  <cp:keywords/>
  <dc:description>generated by python-docx</dc:description>
  <cp:lastModifiedBy/>
  <cp:revision>1</cp:revision>
  <dcterms:created xsi:type="dcterms:W3CDTF">2013-12-23T23:15:00Z</dcterms:created>
  <dcterms:modified xsi:type="dcterms:W3CDTF">2013-12-23T23:15:00Z</dcterms:modified>
  <cp:category/>
</cp:coreProperties>
</file>